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77777777" w:rsidR="00B97988" w:rsidRDefault="00B97988" w:rsidP="007161E6">
      <w:pPr>
        <w:spacing w:after="0" w:line="360" w:lineRule="auto"/>
      </w:pPr>
    </w:p>
    <w:p w14:paraId="7E7EEB8E" w14:textId="359DB4F8" w:rsidR="007E9937" w:rsidRDefault="007E9937" w:rsidP="007161E6">
      <w:pPr>
        <w:spacing w:after="0" w:line="360" w:lineRule="auto"/>
      </w:pPr>
    </w:p>
    <w:p w14:paraId="63735524" w14:textId="4B8A3ED9" w:rsidR="0016612B" w:rsidRPr="007161E6" w:rsidRDefault="0016612B" w:rsidP="007161E6">
      <w:pPr>
        <w:pStyle w:val="Ttulo"/>
        <w:spacing w:line="360" w:lineRule="auto"/>
        <w:jc w:val="both"/>
        <w:rPr>
          <w:sz w:val="28"/>
          <w:szCs w:val="28"/>
        </w:rPr>
      </w:pPr>
      <w:r w:rsidRPr="007161E6">
        <w:rPr>
          <w:sz w:val="28"/>
          <w:szCs w:val="28"/>
        </w:rPr>
        <w:t>RECOMENDAÇÃO Nº 0</w:t>
      </w:r>
      <w:r w:rsidR="00E91F98">
        <w:rPr>
          <w:sz w:val="28"/>
          <w:szCs w:val="28"/>
        </w:rPr>
        <w:t>2</w:t>
      </w:r>
      <w:r w:rsidRPr="007161E6">
        <w:rPr>
          <w:sz w:val="28"/>
          <w:szCs w:val="28"/>
        </w:rPr>
        <w:t>/2022</w:t>
      </w:r>
    </w:p>
    <w:p w14:paraId="5A963041" w14:textId="77777777" w:rsidR="0016612B" w:rsidRDefault="0016612B" w:rsidP="007161E6">
      <w:pPr>
        <w:pStyle w:val="Ttulo"/>
        <w:spacing w:line="360" w:lineRule="auto"/>
        <w:rPr>
          <w:sz w:val="26"/>
          <w:szCs w:val="26"/>
        </w:rPr>
      </w:pPr>
    </w:p>
    <w:p w14:paraId="4EC606DA" w14:textId="77777777" w:rsidR="0016612B" w:rsidRDefault="0016612B" w:rsidP="007161E6">
      <w:pPr>
        <w:pStyle w:val="Ttulo"/>
        <w:spacing w:line="360" w:lineRule="auto"/>
        <w:rPr>
          <w:sz w:val="26"/>
          <w:szCs w:val="26"/>
        </w:rPr>
      </w:pPr>
    </w:p>
    <w:p w14:paraId="1E01BFD9" w14:textId="77777777" w:rsidR="0016612B" w:rsidRPr="003C070C" w:rsidRDefault="0016612B" w:rsidP="007161E6">
      <w:pPr>
        <w:pStyle w:val="Ttulo"/>
        <w:spacing w:line="360" w:lineRule="auto"/>
        <w:rPr>
          <w:sz w:val="26"/>
          <w:szCs w:val="26"/>
        </w:rPr>
      </w:pPr>
    </w:p>
    <w:p w14:paraId="4429BBD4" w14:textId="2D8A0733" w:rsidR="0016612B" w:rsidRPr="0016612B" w:rsidRDefault="0016612B" w:rsidP="007161E6">
      <w:pPr>
        <w:pStyle w:val="Ttulo"/>
        <w:spacing w:line="360" w:lineRule="auto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 w:rsidRPr="003C070C">
        <w:rPr>
          <w:b w:val="0"/>
          <w:sz w:val="26"/>
          <w:szCs w:val="26"/>
          <w:u w:val="none"/>
        </w:rPr>
        <w:t xml:space="preserve">O </w:t>
      </w:r>
      <w:r w:rsidRPr="0016612B">
        <w:rPr>
          <w:bCs/>
          <w:sz w:val="26"/>
          <w:szCs w:val="26"/>
          <w:u w:val="none"/>
        </w:rPr>
        <w:t>MINISTÉRIO PÚBLICO DO ESTADO DE MINAS GERAIS</w:t>
      </w:r>
      <w:r w:rsidRPr="003C070C">
        <w:rPr>
          <w:b w:val="0"/>
          <w:sz w:val="26"/>
          <w:szCs w:val="26"/>
          <w:u w:val="none"/>
        </w:rPr>
        <w:t>, por meio deste Promotor de Justiça,</w:t>
      </w:r>
      <w:r>
        <w:rPr>
          <w:b w:val="0"/>
          <w:sz w:val="26"/>
          <w:szCs w:val="26"/>
          <w:u w:val="none"/>
        </w:rPr>
        <w:t xml:space="preserve"> titular da </w:t>
      </w:r>
      <w:r w:rsidR="003A0CA4">
        <w:rPr>
          <w:b w:val="0"/>
          <w:sz w:val="26"/>
          <w:szCs w:val="26"/>
          <w:u w:val="none"/>
        </w:rPr>
        <w:t>1</w:t>
      </w:r>
      <w:r>
        <w:rPr>
          <w:b w:val="0"/>
          <w:sz w:val="26"/>
          <w:szCs w:val="26"/>
          <w:u w:val="none"/>
        </w:rPr>
        <w:t>ª Promotoria de Justiça da Comarca de Poços de Caldas/MG, na Curadoria de Defesa do Consumidor</w:t>
      </w:r>
      <w:r w:rsidRPr="003C070C">
        <w:rPr>
          <w:b w:val="0"/>
          <w:sz w:val="26"/>
          <w:szCs w:val="26"/>
          <w:u w:val="none"/>
        </w:rPr>
        <w:t xml:space="preserve">, no uso das atribuições que lhe são conferidas em </w:t>
      </w:r>
      <w:r>
        <w:rPr>
          <w:b w:val="0"/>
          <w:sz w:val="26"/>
          <w:szCs w:val="26"/>
          <w:u w:val="none"/>
        </w:rPr>
        <w:t>L</w:t>
      </w:r>
      <w:r w:rsidRPr="003C070C">
        <w:rPr>
          <w:b w:val="0"/>
          <w:sz w:val="26"/>
          <w:szCs w:val="26"/>
          <w:u w:val="none"/>
        </w:rPr>
        <w:t xml:space="preserve">ei, </w:t>
      </w:r>
      <w:r w:rsidRPr="0016612B">
        <w:rPr>
          <w:b w:val="0"/>
          <w:sz w:val="26"/>
          <w:szCs w:val="26"/>
          <w:u w:val="none"/>
        </w:rPr>
        <w:t>com base nos artigos 129, incisos II, III, IX, da Constituição Federal,</w:t>
      </w:r>
      <w:r>
        <w:rPr>
          <w:b w:val="0"/>
          <w:sz w:val="26"/>
          <w:szCs w:val="26"/>
          <w:u w:val="none"/>
        </w:rPr>
        <w:t xml:space="preserve"> e </w:t>
      </w:r>
      <w:r w:rsidRPr="003C070C">
        <w:rPr>
          <w:b w:val="0"/>
          <w:sz w:val="26"/>
          <w:szCs w:val="26"/>
          <w:u w:val="none"/>
        </w:rPr>
        <w:t xml:space="preserve">com fundamento no art. 67, inciso </w:t>
      </w:r>
      <w:r>
        <w:rPr>
          <w:b w:val="0"/>
          <w:sz w:val="26"/>
          <w:szCs w:val="26"/>
          <w:u w:val="none"/>
        </w:rPr>
        <w:t>XV</w:t>
      </w:r>
      <w:r w:rsidRPr="003C070C">
        <w:rPr>
          <w:b w:val="0"/>
          <w:sz w:val="26"/>
          <w:szCs w:val="26"/>
          <w:u w:val="none"/>
        </w:rPr>
        <w:t>, da Lei Complementar Estadual nº 34/94, e</w:t>
      </w:r>
      <w:r w:rsidRPr="0016612B">
        <w:rPr>
          <w:b w:val="0"/>
          <w:sz w:val="26"/>
          <w:szCs w:val="26"/>
          <w:u w:val="none"/>
        </w:rPr>
        <w:tab/>
      </w:r>
      <w:r w:rsidRPr="0016612B">
        <w:rPr>
          <w:b w:val="0"/>
          <w:sz w:val="26"/>
          <w:szCs w:val="26"/>
          <w:u w:val="none"/>
        </w:rPr>
        <w:tab/>
      </w:r>
    </w:p>
    <w:p w14:paraId="10177F3F" w14:textId="77777777" w:rsidR="0016612B" w:rsidRPr="003C070C" w:rsidRDefault="0016612B" w:rsidP="007161E6">
      <w:pPr>
        <w:pStyle w:val="Ttulo"/>
        <w:spacing w:line="360" w:lineRule="auto"/>
        <w:rPr>
          <w:sz w:val="26"/>
          <w:szCs w:val="26"/>
        </w:rPr>
      </w:pPr>
    </w:p>
    <w:p w14:paraId="126F0B7B" w14:textId="77777777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Pr="003C070C">
        <w:rPr>
          <w:rFonts w:ascii="Bookman Old Style" w:hAnsi="Bookman Old Style"/>
          <w:b/>
          <w:sz w:val="26"/>
          <w:szCs w:val="26"/>
        </w:rPr>
        <w:t>CONSIDERANDO</w:t>
      </w:r>
      <w:r w:rsidRPr="003C070C">
        <w:rPr>
          <w:rFonts w:ascii="Bookman Old Style" w:hAnsi="Bookman Old Style"/>
          <w:sz w:val="26"/>
          <w:szCs w:val="26"/>
        </w:rPr>
        <w:t xml:space="preserve"> 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>que a Constituição da República inclui dentre as funções institucionais do Ministério Público a de zelar pelo efetivo respeito dos Poderes Públicos e dos serviços de relevância pública aos direitos assegurados nesta Constituição, promovendo as medidas necessárias a sua garantia (Art. 129, II);</w:t>
      </w:r>
    </w:p>
    <w:p w14:paraId="3004CDB8" w14:textId="77777777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4354D9D8" w14:textId="2D461FB4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Pr="0016612B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que para o exercício </w:t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>da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função institucional do art. 129, II,</w:t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da CF,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a Lei n.º 8.625/1993 estabelece caber ao Ministério Público expedir recomendações, requisitando ao destinatário sua divulgação adequada e imediata, assim como resposta por escrito (art. 27, par. </w:t>
      </w:r>
      <w:proofErr w:type="spellStart"/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>ún</w:t>
      </w:r>
      <w:proofErr w:type="spellEnd"/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>, IV);</w:t>
      </w:r>
    </w:p>
    <w:p w14:paraId="293610AE" w14:textId="77777777" w:rsidR="0016612B" w:rsidRPr="0016612B" w:rsidRDefault="0016612B" w:rsidP="007161E6">
      <w:pPr>
        <w:spacing w:after="0" w:line="360" w:lineRule="auto"/>
        <w:ind w:firstLine="283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1A2ABB8E" w14:textId="1D7CE813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lastRenderedPageBreak/>
        <w:tab/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Pr="0016612B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a acentuada utilidade da recomendação para a autocomposição dos conflitos e controvérsias envolvendo os direitos de cuja defesa é incumbido o Ministério Público, sendo importante instrumento de redução da litigiosidade, e de ampliação do acesso à justiça em sua visão contemporânea;</w:t>
      </w:r>
    </w:p>
    <w:p w14:paraId="7469EFFA" w14:textId="77777777" w:rsidR="0016612B" w:rsidRDefault="0016612B" w:rsidP="007161E6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14:paraId="0ADAEDCE" w14:textId="33E21473" w:rsidR="0016612B" w:rsidRPr="007161E6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</w:p>
    <w:p w14:paraId="6D085BA0" w14:textId="6BC3585F" w:rsidR="0016612B" w:rsidRPr="0016612B" w:rsidRDefault="0016612B" w:rsidP="007161E6">
      <w:pPr>
        <w:pStyle w:val="Corpodetexto"/>
        <w:spacing w:line="360" w:lineRule="auto"/>
        <w:rPr>
          <w:rFonts w:ascii="Bookman Old Style" w:hAnsi="Bookman Old Style" w:cs="Times New Roman"/>
          <w:color w:val="auto"/>
          <w:sz w:val="26"/>
          <w:szCs w:val="26"/>
          <w:lang w:eastAsia="pt-BR"/>
        </w:rPr>
      </w:pPr>
      <w:r>
        <w:rPr>
          <w:rFonts w:ascii="Bookman Old Style" w:hAnsi="Bookman Old Style" w:cs="Times New Roman"/>
          <w:color w:val="auto"/>
          <w:sz w:val="26"/>
          <w:szCs w:val="26"/>
          <w:lang w:eastAsia="pt-BR"/>
        </w:rPr>
        <w:tab/>
      </w:r>
      <w:r>
        <w:rPr>
          <w:rFonts w:ascii="Bookman Old Style" w:hAnsi="Bookman Old Style" w:cs="Times New Roman"/>
          <w:color w:val="auto"/>
          <w:sz w:val="26"/>
          <w:szCs w:val="26"/>
          <w:lang w:eastAsia="pt-BR"/>
        </w:rPr>
        <w:tab/>
      </w:r>
      <w:r>
        <w:rPr>
          <w:rFonts w:ascii="Bookman Old Style" w:hAnsi="Bookman Old Style" w:cs="Times New Roman"/>
          <w:color w:val="auto"/>
          <w:sz w:val="26"/>
          <w:szCs w:val="26"/>
          <w:lang w:eastAsia="pt-BR"/>
        </w:rPr>
        <w:tab/>
      </w:r>
      <w:r>
        <w:rPr>
          <w:rFonts w:ascii="Bookman Old Style" w:hAnsi="Bookman Old Style" w:cs="Times New Roman"/>
          <w:color w:val="auto"/>
          <w:sz w:val="26"/>
          <w:szCs w:val="26"/>
          <w:lang w:eastAsia="pt-BR"/>
        </w:rPr>
        <w:tab/>
      </w:r>
      <w:r w:rsidRPr="0016612B">
        <w:rPr>
          <w:rFonts w:ascii="Bookman Old Style" w:hAnsi="Bookman Old Style" w:cs="Times New Roman"/>
          <w:b/>
          <w:bCs/>
          <w:color w:val="auto"/>
          <w:sz w:val="26"/>
          <w:szCs w:val="26"/>
          <w:lang w:eastAsia="pt-BR"/>
        </w:rPr>
        <w:t>CONSIDERANDO</w:t>
      </w:r>
      <w:r w:rsidRPr="0016612B">
        <w:rPr>
          <w:rFonts w:ascii="Bookman Old Style" w:hAnsi="Bookman Old Style" w:cs="Times New Roman"/>
          <w:color w:val="auto"/>
          <w:sz w:val="26"/>
          <w:szCs w:val="26"/>
          <w:lang w:eastAsia="pt-BR"/>
        </w:rPr>
        <w:t xml:space="preserve"> que a recomendação é instrumento de atuação extrajudicial do Ministério Público por intermédio do qual este expõe, em ato formal, razões fáticas e jurídicas sobre determinada questão, com o objetivo de persuadir o destinatário a praticar ou deixar de praticar determinados atos em benefício da melhoria dos serviços públicos e de relevância pública ou do respeito aos interesses, direitos e bens defendidos pela instituição, atuando, assim, como instrumento de prevenção de responsabilidades ou correção de condutas (art. 1º, caput, da Resolução nº 164/2017 do CNMP);</w:t>
      </w:r>
    </w:p>
    <w:p w14:paraId="74B00760" w14:textId="5129D86A" w:rsidR="0016612B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4D602CC7" w14:textId="77777777" w:rsidR="00AB5306" w:rsidRPr="00AB5306" w:rsidRDefault="00AB5306" w:rsidP="007161E6">
      <w:pPr>
        <w:pStyle w:val="Corpodetexto"/>
        <w:spacing w:line="360" w:lineRule="auto"/>
        <w:rPr>
          <w:lang w:eastAsia="pt-BR"/>
        </w:rPr>
      </w:pPr>
    </w:p>
    <w:p w14:paraId="2017F0A1" w14:textId="2D7C6EF7" w:rsidR="0016612B" w:rsidRPr="0016612B" w:rsidRDefault="0016612B" w:rsidP="007161E6">
      <w:pPr>
        <w:pStyle w:val="Ttulo1"/>
        <w:widowControl w:val="0"/>
        <w:spacing w:line="360" w:lineRule="auto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 w:rsidRPr="00AB5306">
        <w:rPr>
          <w:rFonts w:ascii="Bookman Old Style" w:hAnsi="Bookman Old Style"/>
          <w:sz w:val="26"/>
          <w:szCs w:val="26"/>
          <w:lang w:eastAsia="pt-BR"/>
        </w:rPr>
        <w:t>CONSIDERANDO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que a recomendação rege-se, dentre outros, pelos seguintes princípios: motivação; formalidade e solenidade; celeridade e implementação tempestiva das medidas recomendadas; publicidade, moralidade, eficiência, impessoalidade e legalidade, resolutividade, segurança jurídica, dentre outros (artigo 2° da Resolução CNMP n° 164/2017);</w:t>
      </w:r>
    </w:p>
    <w:p w14:paraId="5177029D" w14:textId="77777777" w:rsidR="0016612B" w:rsidRPr="0016612B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5DAC2EBB" w14:textId="3BBAF4F2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lastRenderedPageBreak/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 w:rsidRPr="00AB530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que a recomendação pode ser dirigida, de maneira preventiva ou corretiva, preliminar ou definitiva, a qualquer pessoa, física ou jurídica, de direito público ou privado, que tenha condições de fazer ou deixar de fazer alguma coisa para salvaguardar interesses, direitos e bens de que é incumbido o Ministério Público  (artigo 4° da Resolução CNMP n° 164/2017);</w:t>
      </w:r>
    </w:p>
    <w:p w14:paraId="318992C7" w14:textId="77777777" w:rsidR="0016612B" w:rsidRPr="0016612B" w:rsidRDefault="0016612B" w:rsidP="007161E6">
      <w:pPr>
        <w:spacing w:after="0" w:line="360" w:lineRule="auto"/>
        <w:ind w:firstLine="283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05D0A3C7" w14:textId="7CD13BD0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 w:rsidRPr="00AB530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que a recomendação será dirigida a quem tem poder, atribuição ou competência para a adoção das medidas recomendadas, ou responsabilidade pela reparação ou prevenção do dano (§1° do artigo 4° da Resolução CNMP n° 164/2017);</w:t>
      </w:r>
    </w:p>
    <w:p w14:paraId="3027C7B6" w14:textId="77777777" w:rsidR="0016612B" w:rsidRPr="0016612B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0125505C" w14:textId="7D3BF64B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 w:rsidRPr="00AB530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ser cabível a recomendação, esta deve ser manejada anterior e preferencialmente à ação judicial (artigo 6° da Resolução CNMP n° 164/2017);</w:t>
      </w:r>
    </w:p>
    <w:p w14:paraId="28938DE8" w14:textId="7E89C7A7" w:rsidR="0016612B" w:rsidRPr="00AB5306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3FB7C7DF" w14:textId="04D11656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 w:rsidRPr="00AB530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que a recomendação conterá a indicação de prazo razoável para a adoção das providências cabíveis, indicando-as de forma clara e objetiva (artigo 8° da Resolução CNMP n° 164/2017);</w:t>
      </w:r>
    </w:p>
    <w:p w14:paraId="087B9C41" w14:textId="77777777" w:rsidR="0016612B" w:rsidRPr="0016612B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09262A81" w14:textId="41051EC8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 w:rsidRPr="00AB530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que o órgão do Ministério Público poderá requisitar, em prazo razoável, resposta por escrito sobre o atendimento ou não da recomendação, bem como instar os destinatários a respondê-la de modo fundamentado (artigo 10° da Resolução CNMP n° 164/2017);</w:t>
      </w:r>
    </w:p>
    <w:p w14:paraId="183955E1" w14:textId="77777777" w:rsidR="0016612B" w:rsidRPr="0016612B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6AA0695C" w14:textId="0253CB2F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lastRenderedPageBreak/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 w:rsidRPr="00AB530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que na hipótese de desatendimento à recomendação, de falta de resposta ou de resposta considerada inconsistente, o órgão do Ministério Público adotará as medidas cabíveis à obtenção do resultado pretendido com a expedição da recomendação (artigo 11° da Resolução CNMP n° 164/2017);</w:t>
      </w:r>
    </w:p>
    <w:p w14:paraId="26F6D959" w14:textId="77777777" w:rsidR="0016612B" w:rsidRPr="0016612B" w:rsidRDefault="0016612B" w:rsidP="007161E6">
      <w:pPr>
        <w:spacing w:after="0" w:line="360" w:lineRule="auto"/>
        <w:ind w:firstLine="283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66FCE686" w14:textId="70E5A30B" w:rsidR="0016612B" w:rsidRPr="0016612B" w:rsidRDefault="0016612B" w:rsidP="007161E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ab/>
      </w:r>
      <w:r w:rsidR="00AB5306" w:rsidRPr="00AB530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CONSIDERANDO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que </w:t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>esta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1ª Promotoria de Justiça da Comarca de Poços de Caldas detém atribuição na Curadoria de Defesa do Consumidor (Resolução CAPJ nº </w:t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>9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>/</w:t>
      </w:r>
      <w:r w:rsidR="00AB5306">
        <w:rPr>
          <w:rFonts w:ascii="Bookman Old Style" w:eastAsia="Times New Roman" w:hAnsi="Bookman Old Style" w:cs="Times New Roman"/>
          <w:sz w:val="26"/>
          <w:szCs w:val="26"/>
          <w:lang w:eastAsia="pt-BR"/>
        </w:rPr>
        <w:t>2021</w:t>
      </w:r>
      <w:r w:rsidRPr="0016612B">
        <w:rPr>
          <w:rFonts w:ascii="Bookman Old Style" w:eastAsia="Times New Roman" w:hAnsi="Bookman Old Style" w:cs="Times New Roman"/>
          <w:sz w:val="26"/>
          <w:szCs w:val="26"/>
          <w:lang w:eastAsia="pt-BR"/>
        </w:rPr>
        <w:t>);</w:t>
      </w:r>
    </w:p>
    <w:p w14:paraId="0F248F8E" w14:textId="77777777" w:rsidR="0016612B" w:rsidRPr="0016612B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08A3EB25" w14:textId="70E50235" w:rsidR="0016612B" w:rsidRPr="0016612B" w:rsidRDefault="0016612B" w:rsidP="007161E6">
      <w:pPr>
        <w:pStyle w:val="Ttulo1"/>
        <w:widowControl w:val="0"/>
        <w:spacing w:line="360" w:lineRule="auto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 w:rsidRPr="00AB5306">
        <w:rPr>
          <w:rFonts w:ascii="Bookman Old Style" w:hAnsi="Bookman Old Style"/>
          <w:sz w:val="26"/>
          <w:szCs w:val="26"/>
          <w:lang w:eastAsia="pt-BR"/>
        </w:rPr>
        <w:t>CONSIDERANDO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que 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tem aportado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nesta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1° Promotoria de Justiça da Comarca de Poços de Caldas 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diversas reclamações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feita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s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por consumidor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es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envolvendo direito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s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difusos e individuais homogêneos, relativamente à questão do não mais fornecimento “gratuito” de sacolinhas de plástico para levarem suas compras, nos supermercados e estabelecimentos similares nesta cidade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de Poços de Caldas</w:t>
      </w:r>
      <w:r w:rsidR="00EB3DB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;</w:t>
      </w:r>
    </w:p>
    <w:p w14:paraId="13809288" w14:textId="77777777" w:rsidR="0016612B" w:rsidRPr="0016612B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50CD65DA" w14:textId="58519C64" w:rsidR="00494C2E" w:rsidRDefault="0016612B" w:rsidP="007161E6">
      <w:pPr>
        <w:pStyle w:val="Ttulo1"/>
        <w:widowControl w:val="0"/>
        <w:spacing w:line="360" w:lineRule="auto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ab/>
      </w:r>
      <w:r w:rsidR="00AB5306" w:rsidRPr="00EB3DBE">
        <w:rPr>
          <w:rFonts w:ascii="Bookman Old Style" w:hAnsi="Bookman Old Style"/>
          <w:sz w:val="26"/>
          <w:szCs w:val="26"/>
          <w:lang w:eastAsia="pt-BR"/>
        </w:rPr>
        <w:t>CONSIDERANDO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que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diversos estabelecimentos comerciais estão cobrando valor acima do preço de custo acrescido de impostos dos consumidores e/ou não estão disponibilizando </w:t>
      </w:r>
      <w:r w:rsidR="00AC0CF0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outros meios para que os mesmos possam levar suas compras e/ou não estão informando-os de maneira adequada sobre tal opção ou o valor das sacolinhas;</w:t>
      </w:r>
    </w:p>
    <w:p w14:paraId="4DE98A55" w14:textId="136CCF33" w:rsidR="00C67755" w:rsidRDefault="00C67755" w:rsidP="00C67755">
      <w:pPr>
        <w:pStyle w:val="Corpodetexto"/>
        <w:rPr>
          <w:lang w:eastAsia="pt-BR"/>
        </w:rPr>
      </w:pPr>
    </w:p>
    <w:p w14:paraId="505595B8" w14:textId="6C65243E" w:rsidR="00C67755" w:rsidRPr="00C67755" w:rsidRDefault="00C67755" w:rsidP="00C67755">
      <w:pPr>
        <w:pStyle w:val="Corpodetexto"/>
        <w:spacing w:line="360" w:lineRule="auto"/>
        <w:rPr>
          <w:lang w:eastAsia="pt-BR"/>
        </w:rPr>
      </w:pPr>
      <w:r>
        <w:rPr>
          <w:rFonts w:ascii="Bookman Old Style" w:hAnsi="Bookman Old Style"/>
          <w:b/>
          <w:bCs/>
          <w:sz w:val="26"/>
          <w:szCs w:val="26"/>
          <w:lang w:eastAsia="pt-BR"/>
        </w:rPr>
        <w:tab/>
      </w:r>
      <w:r>
        <w:rPr>
          <w:rFonts w:ascii="Bookman Old Style" w:hAnsi="Bookman Old Style"/>
          <w:b/>
          <w:bCs/>
          <w:sz w:val="26"/>
          <w:szCs w:val="26"/>
          <w:lang w:eastAsia="pt-BR"/>
        </w:rPr>
        <w:tab/>
      </w:r>
      <w:r>
        <w:rPr>
          <w:rFonts w:ascii="Bookman Old Style" w:hAnsi="Bookman Old Style"/>
          <w:b/>
          <w:bCs/>
          <w:sz w:val="26"/>
          <w:szCs w:val="26"/>
          <w:lang w:eastAsia="pt-BR"/>
        </w:rPr>
        <w:tab/>
      </w:r>
      <w:r>
        <w:rPr>
          <w:rFonts w:ascii="Bookman Old Style" w:hAnsi="Bookman Old Style"/>
          <w:b/>
          <w:bCs/>
          <w:sz w:val="26"/>
          <w:szCs w:val="26"/>
          <w:lang w:eastAsia="pt-BR"/>
        </w:rPr>
        <w:tab/>
      </w:r>
      <w:r w:rsidRPr="00AC0CF0">
        <w:rPr>
          <w:rFonts w:ascii="Bookman Old Style" w:hAnsi="Bookman Old Style"/>
          <w:b/>
          <w:bCs/>
          <w:sz w:val="26"/>
          <w:szCs w:val="26"/>
          <w:lang w:eastAsia="pt-BR"/>
        </w:rPr>
        <w:t>CONSIDERANDO</w:t>
      </w:r>
      <w:r>
        <w:rPr>
          <w:rFonts w:ascii="Bookman Old Style" w:hAnsi="Bookman Old Style"/>
          <w:b/>
          <w:bCs/>
          <w:sz w:val="26"/>
          <w:szCs w:val="26"/>
          <w:lang w:eastAsia="pt-BR"/>
        </w:rPr>
        <w:t xml:space="preserve"> </w:t>
      </w:r>
      <w:r w:rsidRPr="00C67755">
        <w:rPr>
          <w:rFonts w:ascii="Bookman Old Style" w:hAnsi="Bookman Old Style"/>
          <w:sz w:val="26"/>
          <w:szCs w:val="26"/>
          <w:lang w:eastAsia="pt-BR"/>
        </w:rPr>
        <w:t>que a medida adotada pela</w:t>
      </w:r>
      <w:r>
        <w:rPr>
          <w:rFonts w:ascii="Bookman Old Style" w:hAnsi="Bookman Old Style"/>
          <w:b/>
          <w:bCs/>
          <w:sz w:val="26"/>
          <w:szCs w:val="26"/>
          <w:lang w:eastAsia="pt-BR"/>
        </w:rPr>
        <w:t xml:space="preserve"> </w:t>
      </w:r>
      <w:r>
        <w:rPr>
          <w:rFonts w:ascii="Bookman Old Style" w:hAnsi="Bookman Old Style"/>
          <w:sz w:val="26"/>
          <w:szCs w:val="26"/>
          <w:lang w:eastAsia="pt-BR"/>
        </w:rPr>
        <w:t xml:space="preserve">ASSOCIAÇÃO MINEIRA DE SUPERMERCADOS DE POÇOS DE </w:t>
      </w:r>
      <w:r>
        <w:rPr>
          <w:rFonts w:ascii="Bookman Old Style" w:hAnsi="Bookman Old Style"/>
          <w:sz w:val="26"/>
          <w:szCs w:val="26"/>
          <w:lang w:eastAsia="pt-BR"/>
        </w:rPr>
        <w:lastRenderedPageBreak/>
        <w:t>CALDAS</w:t>
      </w:r>
      <w:r>
        <w:rPr>
          <w:rFonts w:ascii="Bookman Old Style" w:hAnsi="Bookman Old Style"/>
          <w:sz w:val="26"/>
          <w:szCs w:val="26"/>
          <w:lang w:eastAsia="pt-BR"/>
        </w:rPr>
        <w:t>, concernente a essa questão do não fornecimento de sacolinhas plásticas de forma gratuita – supostamente amparada em questões ambientais – reclamam também maiores esclarecimentos;</w:t>
      </w:r>
    </w:p>
    <w:p w14:paraId="2AC0993D" w14:textId="6E8FF9AB" w:rsidR="00494C2E" w:rsidRDefault="00494C2E" w:rsidP="00C67755">
      <w:pPr>
        <w:pStyle w:val="Ttulo1"/>
        <w:widowControl w:val="0"/>
        <w:spacing w:line="360" w:lineRule="auto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</w:p>
    <w:p w14:paraId="2469F6E8" w14:textId="4874147E" w:rsidR="00AC0CF0" w:rsidRDefault="00AC0CF0" w:rsidP="00AC0CF0">
      <w:pPr>
        <w:pStyle w:val="Corpodetexto"/>
        <w:spacing w:line="360" w:lineRule="auto"/>
        <w:rPr>
          <w:rFonts w:ascii="Bookman Old Style" w:hAnsi="Bookman Old Style"/>
          <w:sz w:val="26"/>
          <w:szCs w:val="26"/>
          <w:lang w:eastAsia="pt-BR"/>
        </w:rPr>
      </w:pPr>
      <w:r>
        <w:rPr>
          <w:rFonts w:ascii="Bookman Old Style" w:hAnsi="Bookman Old Style"/>
          <w:sz w:val="26"/>
          <w:szCs w:val="26"/>
          <w:lang w:eastAsia="pt-BR"/>
        </w:rPr>
        <w:tab/>
      </w:r>
      <w:r>
        <w:rPr>
          <w:rFonts w:ascii="Bookman Old Style" w:hAnsi="Bookman Old Style"/>
          <w:sz w:val="26"/>
          <w:szCs w:val="26"/>
          <w:lang w:eastAsia="pt-BR"/>
        </w:rPr>
        <w:tab/>
      </w:r>
      <w:r>
        <w:rPr>
          <w:rFonts w:ascii="Bookman Old Style" w:hAnsi="Bookman Old Style"/>
          <w:sz w:val="26"/>
          <w:szCs w:val="26"/>
          <w:lang w:eastAsia="pt-BR"/>
        </w:rPr>
        <w:tab/>
      </w:r>
      <w:r>
        <w:rPr>
          <w:rFonts w:ascii="Bookman Old Style" w:hAnsi="Bookman Old Style"/>
          <w:sz w:val="26"/>
          <w:szCs w:val="26"/>
          <w:lang w:eastAsia="pt-BR"/>
        </w:rPr>
        <w:tab/>
      </w:r>
      <w:r w:rsidRPr="00AC0CF0">
        <w:rPr>
          <w:rFonts w:ascii="Bookman Old Style" w:hAnsi="Bookman Old Style"/>
          <w:b/>
          <w:bCs/>
          <w:sz w:val="26"/>
          <w:szCs w:val="26"/>
          <w:lang w:eastAsia="pt-BR"/>
        </w:rPr>
        <w:t>CONSIDERANDO</w:t>
      </w:r>
      <w:r>
        <w:rPr>
          <w:rFonts w:ascii="Bookman Old Style" w:hAnsi="Bookman Old Style"/>
          <w:b/>
          <w:bCs/>
          <w:sz w:val="26"/>
          <w:szCs w:val="26"/>
          <w:lang w:eastAsia="pt-BR"/>
        </w:rPr>
        <w:t xml:space="preserve"> </w:t>
      </w:r>
      <w:r>
        <w:rPr>
          <w:rFonts w:ascii="Bookman Old Style" w:hAnsi="Bookman Old Style"/>
          <w:sz w:val="26"/>
          <w:szCs w:val="26"/>
          <w:lang w:eastAsia="pt-BR"/>
        </w:rPr>
        <w:t xml:space="preserve">que já há recomendação oriunda do PROCON Municipal sendo descumprida, </w:t>
      </w:r>
      <w:r w:rsidR="00C67755">
        <w:rPr>
          <w:rFonts w:ascii="Bookman Old Style" w:hAnsi="Bookman Old Style"/>
          <w:sz w:val="26"/>
          <w:szCs w:val="26"/>
          <w:lang w:eastAsia="pt-BR"/>
        </w:rPr>
        <w:t>porquanto constada a não clara informação aos consumidores a esse propósito</w:t>
      </w:r>
      <w:r>
        <w:rPr>
          <w:rFonts w:ascii="Bookman Old Style" w:hAnsi="Bookman Old Style"/>
          <w:sz w:val="26"/>
          <w:szCs w:val="26"/>
          <w:lang w:eastAsia="pt-BR"/>
        </w:rPr>
        <w:t>;</w:t>
      </w:r>
    </w:p>
    <w:p w14:paraId="0AE17054" w14:textId="77777777" w:rsidR="00AC0CF0" w:rsidRPr="00AC0CF0" w:rsidRDefault="00AC0CF0" w:rsidP="00AC0CF0">
      <w:pPr>
        <w:pStyle w:val="Corpodetexto"/>
        <w:spacing w:line="360" w:lineRule="auto"/>
        <w:rPr>
          <w:lang w:eastAsia="pt-BR"/>
        </w:rPr>
      </w:pPr>
    </w:p>
    <w:p w14:paraId="4AF54429" w14:textId="72BB7F57" w:rsidR="007161E6" w:rsidRPr="00AC0CF0" w:rsidRDefault="00AC0CF0" w:rsidP="00AC0CF0">
      <w:pPr>
        <w:pStyle w:val="Ttulo1"/>
        <w:widowControl w:val="0"/>
        <w:spacing w:line="360" w:lineRule="auto"/>
        <w:jc w:val="both"/>
        <w:rPr>
          <w:rFonts w:ascii="Bookman Old Style" w:hAnsi="Bookman Old Style"/>
          <w:b w:val="0"/>
          <w:bCs w:val="0"/>
          <w:sz w:val="26"/>
          <w:szCs w:val="26"/>
          <w:lang w:eastAsia="pt-BR"/>
        </w:rPr>
      </w:pPr>
      <w:r>
        <w:rPr>
          <w:rFonts w:ascii="Bookman Old Style" w:hAnsi="Bookman Old Style"/>
          <w:sz w:val="26"/>
          <w:szCs w:val="26"/>
          <w:lang w:eastAsia="pt-BR"/>
        </w:rPr>
        <w:tab/>
      </w:r>
      <w:r>
        <w:rPr>
          <w:rFonts w:ascii="Bookman Old Style" w:hAnsi="Bookman Old Style"/>
          <w:sz w:val="26"/>
          <w:szCs w:val="26"/>
          <w:lang w:eastAsia="pt-BR"/>
        </w:rPr>
        <w:tab/>
      </w:r>
      <w:r>
        <w:rPr>
          <w:rFonts w:ascii="Bookman Old Style" w:hAnsi="Bookman Old Style"/>
          <w:sz w:val="26"/>
          <w:szCs w:val="26"/>
          <w:lang w:eastAsia="pt-BR"/>
        </w:rPr>
        <w:tab/>
      </w:r>
      <w:r>
        <w:rPr>
          <w:rFonts w:ascii="Bookman Old Style" w:hAnsi="Bookman Old Style"/>
          <w:sz w:val="26"/>
          <w:szCs w:val="26"/>
          <w:lang w:eastAsia="pt-BR"/>
        </w:rPr>
        <w:tab/>
      </w:r>
      <w:r w:rsidRPr="00EB3DBE">
        <w:rPr>
          <w:rFonts w:ascii="Bookman Old Style" w:hAnsi="Bookman Old Style"/>
          <w:sz w:val="26"/>
          <w:szCs w:val="26"/>
          <w:lang w:eastAsia="pt-BR"/>
        </w:rPr>
        <w:t>CONSIDERANDO</w:t>
      </w:r>
      <w:r w:rsidR="008B3385" w:rsidRPr="008B3385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,</w:t>
      </w:r>
      <w:r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</w:t>
      </w:r>
      <w:r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finalmente, que </w:t>
      </w:r>
      <w:r w:rsidR="00494C2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nesta data está sendo instaurada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</w:t>
      </w:r>
      <w:r w:rsidR="00C67755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Investigação Preliminar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</w:t>
      </w:r>
      <w:r w:rsidR="0016612B" w:rsidRPr="0016612B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para </w:t>
      </w:r>
      <w:r w:rsidR="00AB5306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se apurar referida </w:t>
      </w:r>
      <w:r w:rsidR="00EB3DBE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violação a direitos dos consumidores</w:t>
      </w:r>
      <w:r w:rsidR="008B3385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 xml:space="preserve"> e à ordem econômica (Leis </w:t>
      </w:r>
      <w:proofErr w:type="spellStart"/>
      <w:r w:rsidR="008B3385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nºs</w:t>
      </w:r>
      <w:proofErr w:type="spellEnd"/>
      <w:r w:rsidR="008B3385">
        <w:rPr>
          <w:rFonts w:ascii="Bookman Old Style" w:hAnsi="Bookman Old Style"/>
          <w:b w:val="0"/>
          <w:bCs w:val="0"/>
          <w:sz w:val="26"/>
          <w:szCs w:val="26"/>
          <w:lang w:eastAsia="pt-BR"/>
        </w:rPr>
        <w:t> 8.078/90, 8.137/90 e 12.529/11;</w:t>
      </w:r>
    </w:p>
    <w:p w14:paraId="3BCDFED7" w14:textId="109EBFDC" w:rsidR="0016612B" w:rsidRPr="007161E6" w:rsidRDefault="0016612B" w:rsidP="007161E6">
      <w:pPr>
        <w:pStyle w:val="Ttulo1"/>
        <w:widowControl w:val="0"/>
        <w:spacing w:line="360" w:lineRule="auto"/>
        <w:ind w:firstLine="2835"/>
        <w:jc w:val="both"/>
        <w:rPr>
          <w:rFonts w:ascii="Bookman Old Style" w:hAnsi="Bookman Old Style" w:cs="Helvetica"/>
          <w:b w:val="0"/>
          <w:bCs w:val="0"/>
          <w:color w:val="000000"/>
          <w:sz w:val="26"/>
          <w:szCs w:val="26"/>
          <w:lang w:eastAsia="pt-BR"/>
        </w:rPr>
      </w:pPr>
    </w:p>
    <w:p w14:paraId="6010C00F" w14:textId="086D597C" w:rsidR="00E37841" w:rsidRDefault="007161E6" w:rsidP="00E37841">
      <w:pPr>
        <w:widowControl w:val="0"/>
        <w:spacing w:after="0" w:line="360" w:lineRule="auto"/>
        <w:jc w:val="both"/>
        <w:rPr>
          <w:rFonts w:ascii="Bookman Old Style" w:hAnsi="Bookman Old Style"/>
          <w:sz w:val="26"/>
          <w:szCs w:val="26"/>
          <w:lang w:eastAsia="pt-BR"/>
        </w:rPr>
      </w:pPr>
      <w:r>
        <w:rPr>
          <w:rFonts w:ascii="Bookman Old Style" w:eastAsia="Times New Roman" w:hAnsi="Bookman Old Style" w:cs="Helvetica"/>
          <w:color w:val="000000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Helvetica"/>
          <w:color w:val="000000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Helvetica"/>
          <w:color w:val="000000"/>
          <w:sz w:val="26"/>
          <w:szCs w:val="26"/>
          <w:lang w:eastAsia="pt-BR"/>
        </w:rPr>
        <w:tab/>
      </w:r>
      <w:r>
        <w:rPr>
          <w:rFonts w:ascii="Bookman Old Style" w:eastAsia="Times New Roman" w:hAnsi="Bookman Old Style" w:cs="Helvetica"/>
          <w:color w:val="000000"/>
          <w:sz w:val="26"/>
          <w:szCs w:val="26"/>
          <w:lang w:eastAsia="pt-BR"/>
        </w:rPr>
        <w:tab/>
      </w:r>
      <w:r w:rsidRPr="007161E6">
        <w:rPr>
          <w:rFonts w:ascii="Bookman Old Style" w:eastAsia="Times New Roman" w:hAnsi="Bookman Old Style" w:cs="Helvetica"/>
          <w:b/>
          <w:bCs/>
          <w:color w:val="000000"/>
          <w:sz w:val="26"/>
          <w:szCs w:val="26"/>
          <w:lang w:eastAsia="pt-BR"/>
        </w:rPr>
        <w:t>RECOMENDA</w:t>
      </w:r>
      <w:r w:rsidRPr="007161E6">
        <w:rPr>
          <w:rFonts w:ascii="Bookman Old Style" w:eastAsia="Times New Roman" w:hAnsi="Bookman Old Style" w:cs="Helvetica"/>
          <w:color w:val="000000"/>
          <w:sz w:val="26"/>
          <w:szCs w:val="26"/>
          <w:lang w:eastAsia="pt-BR"/>
        </w:rPr>
        <w:t xml:space="preserve"> </w:t>
      </w:r>
      <w:r>
        <w:rPr>
          <w:rFonts w:ascii="Bookman Old Style" w:eastAsia="Times New Roman" w:hAnsi="Bookman Old Style" w:cs="Helvetica"/>
          <w:color w:val="000000"/>
          <w:sz w:val="26"/>
          <w:szCs w:val="26"/>
          <w:lang w:eastAsia="pt-BR"/>
        </w:rPr>
        <w:t xml:space="preserve">à </w:t>
      </w:r>
      <w:r w:rsidR="00AC0CF0">
        <w:rPr>
          <w:rFonts w:ascii="Bookman Old Style" w:hAnsi="Bookman Old Style"/>
          <w:sz w:val="26"/>
          <w:szCs w:val="26"/>
          <w:lang w:eastAsia="pt-BR"/>
        </w:rPr>
        <w:t xml:space="preserve">ASSOCIAÇÃO MINEIRA DE SUPERMERCADOS DE POÇOS DE CALDAS </w:t>
      </w:r>
      <w:r w:rsidR="00AC0CF0" w:rsidRPr="00C67755">
        <w:rPr>
          <w:rFonts w:ascii="Bookman Old Style" w:hAnsi="Bookman Old Style"/>
          <w:b/>
          <w:bCs/>
          <w:sz w:val="26"/>
          <w:szCs w:val="26"/>
          <w:u w:val="single"/>
          <w:lang w:eastAsia="pt-BR"/>
        </w:rPr>
        <w:t xml:space="preserve">a </w:t>
      </w:r>
      <w:r w:rsidR="00C67755" w:rsidRPr="00C67755">
        <w:rPr>
          <w:rFonts w:ascii="Bookman Old Style" w:hAnsi="Bookman Old Style"/>
          <w:b/>
          <w:bCs/>
          <w:sz w:val="26"/>
          <w:szCs w:val="26"/>
          <w:u w:val="single"/>
          <w:lang w:eastAsia="pt-BR"/>
        </w:rPr>
        <w:t xml:space="preserve">imediata </w:t>
      </w:r>
      <w:r w:rsidR="00AC0CF0" w:rsidRPr="00C67755">
        <w:rPr>
          <w:rFonts w:ascii="Bookman Old Style" w:hAnsi="Bookman Old Style"/>
          <w:b/>
          <w:bCs/>
          <w:sz w:val="26"/>
          <w:szCs w:val="26"/>
          <w:u w:val="single"/>
          <w:lang w:eastAsia="pt-BR"/>
        </w:rPr>
        <w:t>suspensão da deliberação que adotaram</w:t>
      </w:r>
      <w:r w:rsidR="00AC0CF0">
        <w:rPr>
          <w:rFonts w:ascii="Bookman Old Style" w:hAnsi="Bookman Old Style"/>
          <w:sz w:val="26"/>
          <w:szCs w:val="26"/>
          <w:lang w:eastAsia="pt-BR"/>
        </w:rPr>
        <w:t xml:space="preserve">, relativamente </w:t>
      </w:r>
      <w:r w:rsidR="00C67755">
        <w:rPr>
          <w:rFonts w:ascii="Bookman Old Style" w:hAnsi="Bookman Old Style"/>
          <w:sz w:val="26"/>
          <w:szCs w:val="26"/>
          <w:lang w:eastAsia="pt-BR"/>
        </w:rPr>
        <w:t>ao não fornecimento gratuito de sacolinhas de plástico aos consumidores dos estabelecimentos comerciais que lhe são associados, até que tal questão seja melhor debatida, inclusive, junto da sociedade</w:t>
      </w:r>
      <w:r w:rsidR="008B3385">
        <w:rPr>
          <w:rFonts w:ascii="Bookman Old Style" w:hAnsi="Bookman Old Style"/>
          <w:sz w:val="26"/>
          <w:szCs w:val="26"/>
          <w:lang w:eastAsia="pt-BR"/>
        </w:rPr>
        <w:t xml:space="preserve"> e até final deslinde da investigação acima mencionada.</w:t>
      </w:r>
    </w:p>
    <w:p w14:paraId="660E9D72" w14:textId="77777777" w:rsidR="008B3385" w:rsidRPr="008B3385" w:rsidRDefault="008B3385" w:rsidP="00E37841">
      <w:pPr>
        <w:widowControl w:val="0"/>
        <w:spacing w:after="0" w:line="360" w:lineRule="auto"/>
        <w:jc w:val="both"/>
        <w:rPr>
          <w:rFonts w:ascii="Bookman Old Style" w:hAnsi="Bookman Old Style"/>
          <w:sz w:val="26"/>
          <w:szCs w:val="26"/>
          <w:lang w:eastAsia="pt-BR"/>
        </w:rPr>
      </w:pPr>
    </w:p>
    <w:p w14:paraId="3CD5ACA8" w14:textId="7DA4F42F" w:rsidR="0016612B" w:rsidRDefault="0016612B" w:rsidP="007161E6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C070C">
        <w:rPr>
          <w:rFonts w:ascii="Bookman Old Style" w:hAnsi="Bookman Old Style"/>
          <w:sz w:val="26"/>
          <w:szCs w:val="26"/>
        </w:rPr>
        <w:t>Atenda-se.</w:t>
      </w:r>
    </w:p>
    <w:p w14:paraId="3C38AF21" w14:textId="77777777" w:rsidR="00E37841" w:rsidRPr="003C070C" w:rsidRDefault="00E37841" w:rsidP="007161E6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6EC652EA" w14:textId="1495458A" w:rsidR="0016612B" w:rsidRPr="008B3385" w:rsidRDefault="00E37841" w:rsidP="008B3385">
      <w:pPr>
        <w:pStyle w:val="Recuodecorpodetexto"/>
        <w:widowControl w:val="0"/>
        <w:spacing w:after="0" w:line="360" w:lineRule="auto"/>
        <w:ind w:left="0"/>
        <w:rPr>
          <w:rFonts w:ascii="Bookman Old Style" w:hAnsi="Bookman Old Style" w:cs="Helvetica"/>
          <w:color w:val="000000"/>
          <w:sz w:val="26"/>
          <w:szCs w:val="26"/>
          <w:lang w:eastAsia="pt-BR"/>
        </w:rPr>
      </w:pPr>
      <w:r>
        <w:rPr>
          <w:rFonts w:ascii="Bookman Old Style" w:hAnsi="Bookman Old Style" w:cs="Helvetica"/>
          <w:color w:val="000000"/>
          <w:sz w:val="26"/>
          <w:szCs w:val="26"/>
          <w:lang w:eastAsia="pt-BR"/>
        </w:rPr>
        <w:tab/>
      </w:r>
      <w:r>
        <w:rPr>
          <w:rFonts w:ascii="Bookman Old Style" w:hAnsi="Bookman Old Style" w:cs="Helvetica"/>
          <w:color w:val="000000"/>
          <w:sz w:val="26"/>
          <w:szCs w:val="26"/>
          <w:lang w:eastAsia="pt-BR"/>
        </w:rPr>
        <w:tab/>
      </w:r>
      <w:r>
        <w:rPr>
          <w:rFonts w:ascii="Bookman Old Style" w:hAnsi="Bookman Old Style" w:cs="Helvetica"/>
          <w:color w:val="000000"/>
          <w:sz w:val="26"/>
          <w:szCs w:val="26"/>
          <w:lang w:eastAsia="pt-BR"/>
        </w:rPr>
        <w:tab/>
      </w:r>
      <w:r>
        <w:rPr>
          <w:rFonts w:ascii="Bookman Old Style" w:hAnsi="Bookman Old Style" w:cs="Helvetica"/>
          <w:color w:val="000000"/>
          <w:sz w:val="26"/>
          <w:szCs w:val="26"/>
          <w:lang w:eastAsia="pt-BR"/>
        </w:rPr>
        <w:tab/>
      </w:r>
      <w:r w:rsidRPr="00E37841">
        <w:rPr>
          <w:rFonts w:ascii="Bookman Old Style" w:hAnsi="Bookman Old Style" w:cs="Helvetica"/>
          <w:color w:val="000000"/>
          <w:sz w:val="26"/>
          <w:szCs w:val="26"/>
          <w:lang w:eastAsia="pt-BR"/>
        </w:rPr>
        <w:t xml:space="preserve">Poços de Caldas, </w:t>
      </w:r>
      <w:r w:rsidR="008B3385">
        <w:rPr>
          <w:rFonts w:ascii="Bookman Old Style" w:hAnsi="Bookman Old Style" w:cs="Helvetica"/>
          <w:color w:val="000000"/>
          <w:sz w:val="26"/>
          <w:szCs w:val="26"/>
          <w:lang w:eastAsia="pt-BR"/>
        </w:rPr>
        <w:t>19</w:t>
      </w:r>
      <w:r w:rsidRPr="00E37841">
        <w:rPr>
          <w:rFonts w:ascii="Bookman Old Style" w:hAnsi="Bookman Old Style" w:cs="Helvetica"/>
          <w:color w:val="000000"/>
          <w:sz w:val="26"/>
          <w:szCs w:val="26"/>
          <w:lang w:eastAsia="pt-BR"/>
        </w:rPr>
        <w:t xml:space="preserve"> de </w:t>
      </w:r>
      <w:r w:rsidR="008B3385">
        <w:rPr>
          <w:rFonts w:ascii="Bookman Old Style" w:hAnsi="Bookman Old Style" w:cs="Helvetica"/>
          <w:color w:val="000000"/>
          <w:sz w:val="26"/>
          <w:szCs w:val="26"/>
          <w:lang w:eastAsia="pt-BR"/>
        </w:rPr>
        <w:t>maio</w:t>
      </w:r>
      <w:r w:rsidRPr="00E37841">
        <w:rPr>
          <w:rFonts w:ascii="Bookman Old Style" w:hAnsi="Bookman Old Style" w:cs="Helvetica"/>
          <w:color w:val="000000"/>
          <w:sz w:val="26"/>
          <w:szCs w:val="26"/>
          <w:lang w:eastAsia="pt-BR"/>
        </w:rPr>
        <w:t xml:space="preserve"> de </w:t>
      </w:r>
      <w:r>
        <w:rPr>
          <w:rFonts w:ascii="Bookman Old Style" w:hAnsi="Bookman Old Style" w:cs="Helvetica"/>
          <w:color w:val="000000"/>
          <w:sz w:val="26"/>
          <w:szCs w:val="26"/>
          <w:lang w:eastAsia="pt-BR"/>
        </w:rPr>
        <w:t>2022</w:t>
      </w:r>
      <w:r w:rsidRPr="00E37841">
        <w:rPr>
          <w:rFonts w:ascii="Bookman Old Style" w:hAnsi="Bookman Old Style" w:cs="Helvetica"/>
          <w:color w:val="000000"/>
          <w:sz w:val="26"/>
          <w:szCs w:val="26"/>
          <w:lang w:eastAsia="pt-BR"/>
        </w:rPr>
        <w:t>.</w:t>
      </w:r>
    </w:p>
    <w:p w14:paraId="4967D1EB" w14:textId="77777777" w:rsidR="0016612B" w:rsidRDefault="0016612B" w:rsidP="00E37841">
      <w:pPr>
        <w:spacing w:after="0" w:line="276" w:lineRule="auto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2EED0867" w14:textId="1CFDB08E" w:rsidR="0016612B" w:rsidRPr="003C070C" w:rsidRDefault="00E37841" w:rsidP="00E37841">
      <w:pPr>
        <w:spacing w:after="0" w:line="276" w:lineRule="auto"/>
        <w:jc w:val="center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>GLAUCIR ANTUNES MODESTO</w:t>
      </w:r>
    </w:p>
    <w:p w14:paraId="56681DB3" w14:textId="77777777" w:rsidR="0016612B" w:rsidRPr="003C070C" w:rsidRDefault="0016612B" w:rsidP="00E37841">
      <w:pPr>
        <w:spacing w:after="0" w:line="276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3C070C">
        <w:rPr>
          <w:rFonts w:ascii="Bookman Old Style" w:hAnsi="Bookman Old Style"/>
          <w:b/>
          <w:sz w:val="26"/>
          <w:szCs w:val="26"/>
        </w:rPr>
        <w:t>Promotor de Justiça</w:t>
      </w:r>
    </w:p>
    <w:p w14:paraId="3388F97F" w14:textId="2692EB6E" w:rsidR="007E9937" w:rsidRDefault="007E9937" w:rsidP="007161E6">
      <w:pPr>
        <w:spacing w:after="0" w:line="360" w:lineRule="auto"/>
      </w:pPr>
    </w:p>
    <w:p w14:paraId="6E33F76B" w14:textId="52F35DC4" w:rsidR="007E9937" w:rsidRDefault="007E9937" w:rsidP="007161E6">
      <w:pPr>
        <w:spacing w:after="0" w:line="360" w:lineRule="auto"/>
      </w:pPr>
    </w:p>
    <w:sectPr w:rsidR="007E9937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86D2" w14:textId="77777777" w:rsidR="000D6DB7" w:rsidRDefault="000D6DB7">
      <w:pPr>
        <w:spacing w:after="0" w:line="240" w:lineRule="auto"/>
      </w:pPr>
      <w:r>
        <w:separator/>
      </w:r>
    </w:p>
  </w:endnote>
  <w:endnote w:type="continuationSeparator" w:id="0">
    <w:p w14:paraId="3419BF86" w14:textId="77777777" w:rsidR="000D6DB7" w:rsidRDefault="000D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8775"/>
      <w:gridCol w:w="285"/>
    </w:tblGrid>
    <w:tr w:rsidR="306BC6DE" w14:paraId="6EEA97E3" w14:textId="77777777" w:rsidTr="582D89A3">
      <w:trPr>
        <w:trHeight w:val="1005"/>
      </w:trPr>
      <w:tc>
        <w:tcPr>
          <w:tcW w:w="8775" w:type="dxa"/>
        </w:tcPr>
        <w:p w14:paraId="5B983D03" w14:textId="164869EB" w:rsidR="306BC6DE" w:rsidRDefault="306BC6DE" w:rsidP="4FE14174">
          <w:pPr>
            <w:pStyle w:val="Cabealho"/>
            <w:ind w:left="-115"/>
            <w:jc w:val="right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  <w:r>
            <w:br/>
          </w:r>
          <w:r w:rsidR="4FE14174"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Rua </w:t>
          </w:r>
          <w:r w:rsidR="00466951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Prefeita Chagas</w:t>
          </w:r>
          <w:r w:rsidR="4FE14174"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, </w:t>
          </w:r>
          <w:r w:rsidR="00466951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305</w:t>
          </w:r>
          <w:r w:rsidR="4FE14174"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  .  </w:t>
          </w:r>
          <w:r w:rsidR="00466951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Centro</w:t>
          </w:r>
          <w:r w:rsidR="4FE14174"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  .  </w:t>
          </w:r>
          <w:r w:rsidR="00466951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Poços de Caldas</w:t>
          </w:r>
          <w:r w:rsidR="4FE14174"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/MG  .  CEP: </w:t>
          </w:r>
          <w:r w:rsidR="00466951">
            <w:rPr>
              <w:rFonts w:ascii="Calibri" w:eastAsia="Calibri" w:hAnsi="Calibri" w:cs="Calibri"/>
              <w:color w:val="000000" w:themeColor="text1"/>
            </w:rPr>
            <w:t>37701-010</w:t>
          </w:r>
        </w:p>
        <w:p w14:paraId="3E8CB027" w14:textId="23883970" w:rsidR="306BC6DE" w:rsidRDefault="4FE14174" w:rsidP="4FE14174">
          <w:pPr>
            <w:pStyle w:val="Cabealho"/>
            <w:ind w:left="-115"/>
            <w:jc w:val="right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  <w:r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Telefone: (</w:t>
          </w:r>
          <w:r w:rsidR="00466951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35</w:t>
          </w:r>
          <w:r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) </w:t>
          </w:r>
          <w:r w:rsidR="00466951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3722-9268</w:t>
          </w:r>
          <w:r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  .  E-mail: </w:t>
          </w:r>
          <w:r w:rsidR="00466951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5pjpocoscaldas</w:t>
          </w:r>
          <w:r w:rsidRPr="4FE14174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 xml:space="preserve">@mpmg.mp.br  .  </w:t>
          </w:r>
          <w:r w:rsidRPr="4FE14174">
            <w:rPr>
              <w:rStyle w:val="Hyperlink"/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  <w:t>www.mpmg.mp.br</w:t>
          </w:r>
        </w:p>
        <w:p w14:paraId="2A5ED3E8" w14:textId="64CA2FB6" w:rsidR="306BC6DE" w:rsidRDefault="306BC6DE" w:rsidP="62FB9B37">
          <w:pPr>
            <w:pStyle w:val="Cabealho"/>
            <w:ind w:left="-115"/>
            <w:jc w:val="right"/>
          </w:pPr>
        </w:p>
      </w:tc>
      <w:tc>
        <w:tcPr>
          <w:tcW w:w="285" w:type="dxa"/>
        </w:tcPr>
        <w:p w14:paraId="66A5F761" w14:textId="460C9A0B" w:rsidR="306BC6DE" w:rsidRDefault="582D89A3" w:rsidP="50548558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0A7E082" wp14:editId="3513B859">
                <wp:extent cx="79808" cy="756244"/>
                <wp:effectExtent l="0" t="0" r="0" b="0"/>
                <wp:docPr id="296913432" name="Imagem 296913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08" cy="756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718463" w14:textId="0A8E0B80" w:rsidR="306BC6DE" w:rsidRDefault="306BC6DE" w:rsidP="306BC6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74D8" w14:textId="77777777" w:rsidR="000D6DB7" w:rsidRDefault="000D6DB7">
      <w:pPr>
        <w:spacing w:after="0" w:line="240" w:lineRule="auto"/>
      </w:pPr>
      <w:r>
        <w:separator/>
      </w:r>
    </w:p>
  </w:footnote>
  <w:footnote w:type="continuationSeparator" w:id="0">
    <w:p w14:paraId="545F90C0" w14:textId="77777777" w:rsidR="000D6DB7" w:rsidRDefault="000D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5430"/>
      <w:gridCol w:w="3300"/>
      <w:gridCol w:w="330"/>
    </w:tblGrid>
    <w:tr w:rsidR="306BC6DE" w14:paraId="35C9A757" w14:textId="77777777" w:rsidTr="582D89A3">
      <w:trPr>
        <w:trHeight w:val="1260"/>
      </w:trPr>
      <w:tc>
        <w:tcPr>
          <w:tcW w:w="5430" w:type="dxa"/>
        </w:tcPr>
        <w:p w14:paraId="37B1E641" w14:textId="7D8FDF77" w:rsidR="306BC6DE" w:rsidRDefault="582D89A3" w:rsidP="447070EE">
          <w:pPr>
            <w:pStyle w:val="Cabealho"/>
            <w:ind w:left="-115"/>
          </w:pPr>
          <w:r>
            <w:rPr>
              <w:noProof/>
            </w:rPr>
            <w:drawing>
              <wp:inline distT="0" distB="0" distL="0" distR="0" wp14:anchorId="14F23DA0" wp14:editId="582D89A3">
                <wp:extent cx="1884323" cy="777449"/>
                <wp:effectExtent l="0" t="0" r="0" b="0"/>
                <wp:docPr id="1665106493" name="Imagem 1665106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323" cy="777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78EAB544" w14:textId="40DB7192" w:rsidR="447070EE" w:rsidRDefault="447070EE" w:rsidP="447070EE">
          <w:pPr>
            <w:pStyle w:val="Cabealho"/>
            <w:ind w:left="-115"/>
            <w:jc w:val="right"/>
            <w:rPr>
              <w:b/>
              <w:bCs/>
            </w:rPr>
          </w:pPr>
        </w:p>
        <w:p w14:paraId="50EC0A7B" w14:textId="08A9DB41" w:rsidR="00AB724E" w:rsidRPr="00AB724E" w:rsidRDefault="003A0CA4" w:rsidP="3DF706B8">
          <w:pPr>
            <w:pStyle w:val="Cabealho"/>
            <w:ind w:left="-115"/>
            <w:jc w:val="right"/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  <w:t>1</w:t>
          </w:r>
          <w:r w:rsidR="00AB724E"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  <w:t>ª Promotoria de Justiça</w:t>
          </w:r>
          <w:r w:rsidR="3DF706B8" w:rsidRPr="00AB724E"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  <w:t xml:space="preserve"> </w:t>
          </w:r>
        </w:p>
        <w:p w14:paraId="0908E3BA" w14:textId="715E9075" w:rsidR="447070EE" w:rsidRDefault="00AB724E" w:rsidP="3DF706B8">
          <w:pPr>
            <w:pStyle w:val="Cabealho"/>
            <w:ind w:left="-115"/>
            <w:jc w:val="right"/>
          </w:pPr>
          <w:r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  <w:t>Comarca de Poços de Caldas/MG</w:t>
          </w:r>
        </w:p>
      </w:tc>
      <w:tc>
        <w:tcPr>
          <w:tcW w:w="330" w:type="dxa"/>
        </w:tcPr>
        <w:p w14:paraId="60188158" w14:textId="0F6FFC15" w:rsidR="306BC6DE" w:rsidRDefault="582D89A3" w:rsidP="50548558">
          <w:pPr>
            <w:pStyle w:val="Cabealho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34C93E7F" wp14:editId="6EAC67DF">
                <wp:extent cx="79808" cy="756244"/>
                <wp:effectExtent l="0" t="0" r="0" b="0"/>
                <wp:docPr id="593368199" name="Imagem 593368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08" cy="756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A1FB4B" w14:textId="250E70A6" w:rsidR="306BC6DE" w:rsidRDefault="306BC6DE" w:rsidP="306BC6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28FF8E"/>
    <w:rsid w:val="00044574"/>
    <w:rsid w:val="000D6DB7"/>
    <w:rsid w:val="0016612B"/>
    <w:rsid w:val="001E0A0B"/>
    <w:rsid w:val="00352358"/>
    <w:rsid w:val="00383382"/>
    <w:rsid w:val="003A0CA4"/>
    <w:rsid w:val="00466951"/>
    <w:rsid w:val="00466E25"/>
    <w:rsid w:val="00494C2E"/>
    <w:rsid w:val="006500E0"/>
    <w:rsid w:val="00664D7A"/>
    <w:rsid w:val="007161E6"/>
    <w:rsid w:val="007D11D6"/>
    <w:rsid w:val="007E9937"/>
    <w:rsid w:val="008B3385"/>
    <w:rsid w:val="00A00D3D"/>
    <w:rsid w:val="00AB5306"/>
    <w:rsid w:val="00AB724E"/>
    <w:rsid w:val="00AC0CF0"/>
    <w:rsid w:val="00B97988"/>
    <w:rsid w:val="00BB7D9B"/>
    <w:rsid w:val="00C67755"/>
    <w:rsid w:val="00E37841"/>
    <w:rsid w:val="00E91F98"/>
    <w:rsid w:val="00EB3DBE"/>
    <w:rsid w:val="013CFE8F"/>
    <w:rsid w:val="02BF51DA"/>
    <w:rsid w:val="053A4349"/>
    <w:rsid w:val="08CF961A"/>
    <w:rsid w:val="096DD03F"/>
    <w:rsid w:val="09B4B7FB"/>
    <w:rsid w:val="0BA7BEDA"/>
    <w:rsid w:val="0E826F40"/>
    <w:rsid w:val="0F08214D"/>
    <w:rsid w:val="0FE1F19A"/>
    <w:rsid w:val="10A3F1AE"/>
    <w:rsid w:val="12248982"/>
    <w:rsid w:val="12557F55"/>
    <w:rsid w:val="16403904"/>
    <w:rsid w:val="17FB57E5"/>
    <w:rsid w:val="1847A3E7"/>
    <w:rsid w:val="1A936F3C"/>
    <w:rsid w:val="1EEF4190"/>
    <w:rsid w:val="1FF8DFAD"/>
    <w:rsid w:val="21B4FAAD"/>
    <w:rsid w:val="23B97FA5"/>
    <w:rsid w:val="23DA2FE6"/>
    <w:rsid w:val="25140D0C"/>
    <w:rsid w:val="25CDE383"/>
    <w:rsid w:val="271FB180"/>
    <w:rsid w:val="278DECA6"/>
    <w:rsid w:val="2848EDD4"/>
    <w:rsid w:val="2A00AD8D"/>
    <w:rsid w:val="2C81C2C9"/>
    <w:rsid w:val="2CDB5DF3"/>
    <w:rsid w:val="2D34261C"/>
    <w:rsid w:val="2E5A0AB9"/>
    <w:rsid w:val="306BC6DE"/>
    <w:rsid w:val="338271E6"/>
    <w:rsid w:val="352B0FE2"/>
    <w:rsid w:val="3B9A5166"/>
    <w:rsid w:val="3DF706B8"/>
    <w:rsid w:val="3EF55704"/>
    <w:rsid w:val="42596C42"/>
    <w:rsid w:val="42F88294"/>
    <w:rsid w:val="447070EE"/>
    <w:rsid w:val="4499263E"/>
    <w:rsid w:val="46C8B9CC"/>
    <w:rsid w:val="4755219E"/>
    <w:rsid w:val="4C28FF8E"/>
    <w:rsid w:val="4D401FD1"/>
    <w:rsid w:val="4DC707B1"/>
    <w:rsid w:val="4F8202C6"/>
    <w:rsid w:val="4FE14174"/>
    <w:rsid w:val="50548558"/>
    <w:rsid w:val="52FA514A"/>
    <w:rsid w:val="539B44B5"/>
    <w:rsid w:val="545573E9"/>
    <w:rsid w:val="563DE317"/>
    <w:rsid w:val="582D89A3"/>
    <w:rsid w:val="5928E50C"/>
    <w:rsid w:val="5AC4B56D"/>
    <w:rsid w:val="5DE32DD2"/>
    <w:rsid w:val="5F862170"/>
    <w:rsid w:val="5FE0C1D8"/>
    <w:rsid w:val="61A1A330"/>
    <w:rsid w:val="62B0B91A"/>
    <w:rsid w:val="62FB9B37"/>
    <w:rsid w:val="6300232E"/>
    <w:rsid w:val="646FFD4A"/>
    <w:rsid w:val="64AE30EC"/>
    <w:rsid w:val="6E52D6E1"/>
    <w:rsid w:val="73105DC9"/>
    <w:rsid w:val="75C8D362"/>
    <w:rsid w:val="7633F450"/>
    <w:rsid w:val="7B0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FF8E"/>
  <w15:chartTrackingRefBased/>
  <w15:docId w15:val="{CE908C24-6339-4A33-940C-EA3CB0B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16612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6612B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16612B"/>
    <w:pPr>
      <w:widowControl w:val="0"/>
      <w:suppressAutoHyphens/>
      <w:autoSpaceDE w:val="0"/>
      <w:spacing w:after="0" w:line="240" w:lineRule="auto"/>
      <w:jc w:val="both"/>
    </w:pPr>
    <w:rPr>
      <w:rFonts w:ascii="Helvetica" w:eastAsia="Times New Roman" w:hAnsi="Helvetica" w:cs="Helvetica"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6612B"/>
    <w:rPr>
      <w:rFonts w:ascii="Helvetica" w:eastAsia="Times New Roman" w:hAnsi="Helvetica" w:cs="Helvetica"/>
      <w:color w:val="000000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1661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6612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1661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Henrique da Silva Passos</dc:creator>
  <cp:keywords/>
  <dc:description/>
  <cp:lastModifiedBy>Paulo Prado</cp:lastModifiedBy>
  <cp:revision>3</cp:revision>
  <dcterms:created xsi:type="dcterms:W3CDTF">2022-05-19T17:01:00Z</dcterms:created>
  <dcterms:modified xsi:type="dcterms:W3CDTF">2022-05-19T17:28:00Z</dcterms:modified>
</cp:coreProperties>
</file>